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343" w:type="dxa"/>
        <w:tblLook w:val="04A0" w:firstRow="1" w:lastRow="0" w:firstColumn="1" w:lastColumn="0" w:noHBand="0" w:noVBand="1"/>
      </w:tblPr>
      <w:tblGrid>
        <w:gridCol w:w="5240"/>
        <w:gridCol w:w="5103"/>
      </w:tblGrid>
      <w:tr w:rsidR="00077C32" w14:paraId="5D321D28" w14:textId="77777777" w:rsidTr="00C81C70">
        <w:tc>
          <w:tcPr>
            <w:tcW w:w="10343" w:type="dxa"/>
            <w:gridSpan w:val="2"/>
          </w:tcPr>
          <w:p w14:paraId="452744F5" w14:textId="7117D820" w:rsidR="00077C32" w:rsidRPr="00077C32" w:rsidRDefault="00077C32">
            <w:pPr>
              <w:rPr>
                <w:b/>
                <w:bCs/>
                <w:sz w:val="24"/>
                <w:szCs w:val="24"/>
              </w:rPr>
            </w:pPr>
            <w:r w:rsidRPr="00077C32">
              <w:rPr>
                <w:b/>
                <w:bCs/>
                <w:sz w:val="24"/>
                <w:szCs w:val="24"/>
              </w:rPr>
              <w:t xml:space="preserve">JDI 2020 enseignement de spécialité SVT terminale </w:t>
            </w:r>
          </w:p>
        </w:tc>
      </w:tr>
      <w:tr w:rsidR="00077C32" w14:paraId="7D156DEB" w14:textId="77777777" w:rsidTr="00060A1F">
        <w:tc>
          <w:tcPr>
            <w:tcW w:w="10343" w:type="dxa"/>
            <w:gridSpan w:val="2"/>
          </w:tcPr>
          <w:p w14:paraId="05A71FD9" w14:textId="77777777" w:rsidR="00077C32" w:rsidRDefault="00077C32">
            <w:pPr>
              <w:rPr>
                <w:b/>
                <w:bCs/>
                <w:sz w:val="28"/>
                <w:szCs w:val="28"/>
              </w:rPr>
            </w:pPr>
          </w:p>
          <w:p w14:paraId="4B5E7B2C" w14:textId="2BA78937" w:rsidR="00077C32" w:rsidRDefault="00077C32">
            <w:pPr>
              <w:rPr>
                <w:b/>
                <w:bCs/>
                <w:sz w:val="28"/>
                <w:szCs w:val="28"/>
              </w:rPr>
            </w:pPr>
            <w:r w:rsidRPr="00077C32">
              <w:rPr>
                <w:b/>
                <w:bCs/>
                <w:sz w:val="28"/>
                <w:szCs w:val="28"/>
              </w:rPr>
              <w:t>Les climats de la Terre : reconstituer et comprendre les variations climatiques passées</w:t>
            </w:r>
          </w:p>
          <w:p w14:paraId="5547CB5C" w14:textId="5E396B57" w:rsidR="003A06D8" w:rsidRDefault="003A06D8" w:rsidP="003A06D8">
            <w:pPr>
              <w:jc w:val="center"/>
              <w:rPr>
                <w:b/>
                <w:bCs/>
                <w:sz w:val="28"/>
                <w:szCs w:val="28"/>
              </w:rPr>
            </w:pPr>
            <w:r>
              <w:rPr>
                <w:b/>
                <w:bCs/>
                <w:sz w:val="28"/>
                <w:szCs w:val="28"/>
              </w:rPr>
              <w:t>Variations climatiques à de grandes échelles de temps</w:t>
            </w:r>
          </w:p>
          <w:p w14:paraId="0CD93EC6" w14:textId="6B237C25" w:rsidR="00077C32" w:rsidRPr="00077C32" w:rsidRDefault="00077C32">
            <w:pPr>
              <w:rPr>
                <w:b/>
                <w:bCs/>
                <w:sz w:val="28"/>
                <w:szCs w:val="28"/>
              </w:rPr>
            </w:pPr>
          </w:p>
        </w:tc>
      </w:tr>
      <w:tr w:rsidR="00077C32" w14:paraId="71D540B8" w14:textId="77777777" w:rsidTr="00077C32">
        <w:tc>
          <w:tcPr>
            <w:tcW w:w="5240" w:type="dxa"/>
          </w:tcPr>
          <w:p w14:paraId="24B9280B" w14:textId="78B583E7" w:rsidR="00077C32" w:rsidRPr="00077C32" w:rsidRDefault="00077C32" w:rsidP="00077C32">
            <w:pPr>
              <w:pStyle w:val="Sansinterligne"/>
              <w:jc w:val="both"/>
              <w:rPr>
                <w:b/>
                <w:bCs/>
                <w:sz w:val="24"/>
                <w:szCs w:val="24"/>
              </w:rPr>
            </w:pPr>
            <w:r w:rsidRPr="00077C32">
              <w:rPr>
                <w:b/>
                <w:bCs/>
                <w:sz w:val="24"/>
                <w:szCs w:val="24"/>
              </w:rPr>
              <w:t>Connaissances</w:t>
            </w:r>
          </w:p>
        </w:tc>
        <w:tc>
          <w:tcPr>
            <w:tcW w:w="5103" w:type="dxa"/>
          </w:tcPr>
          <w:p w14:paraId="6E41EAAF" w14:textId="0AFAA8AA" w:rsidR="00077C32" w:rsidRPr="00077C32" w:rsidRDefault="00077C32" w:rsidP="00077C32">
            <w:pPr>
              <w:pStyle w:val="Sansinterligne"/>
              <w:jc w:val="both"/>
              <w:rPr>
                <w:b/>
                <w:bCs/>
                <w:sz w:val="24"/>
                <w:szCs w:val="24"/>
              </w:rPr>
            </w:pPr>
            <w:r w:rsidRPr="00077C32">
              <w:rPr>
                <w:b/>
                <w:bCs/>
                <w:sz w:val="24"/>
                <w:szCs w:val="24"/>
              </w:rPr>
              <w:t>Capacités</w:t>
            </w:r>
          </w:p>
        </w:tc>
      </w:tr>
      <w:tr w:rsidR="00077C32" w14:paraId="57E4BDDB" w14:textId="77777777" w:rsidTr="00077C32">
        <w:tc>
          <w:tcPr>
            <w:tcW w:w="5240" w:type="dxa"/>
          </w:tcPr>
          <w:p w14:paraId="3A26C9AE" w14:textId="08F57F51" w:rsidR="00077C32" w:rsidRPr="00077C32" w:rsidRDefault="00C5777F" w:rsidP="00C5777F">
            <w:pPr>
              <w:pStyle w:val="Sansinterligne"/>
              <w:jc w:val="both"/>
            </w:pPr>
            <w:r>
              <w:t xml:space="preserve">Au Paléozoïque, des indices paléontologiques et géologiques, corrélés à l’échelle planétaire et tenant compte des </w:t>
            </w:r>
            <w:proofErr w:type="spellStart"/>
            <w:r>
              <w:t>paléolatitudes</w:t>
            </w:r>
            <w:proofErr w:type="spellEnd"/>
            <w:r>
              <w:t xml:space="preserve">, révèlent une importante glaciation au Carbonifère-Permien. Par la modification du cycle géochimique du carbone qu’elles ont entraînée, l’altération de la chaîne hercynienne et la fossilisation importante de matière organique (grands gisements carbonés) sont tenues pour responsables de cette glaciation. </w:t>
            </w:r>
          </w:p>
        </w:tc>
        <w:tc>
          <w:tcPr>
            <w:tcW w:w="5103" w:type="dxa"/>
          </w:tcPr>
          <w:p w14:paraId="43EFE49A" w14:textId="77777777" w:rsidR="003A06D8" w:rsidRDefault="003A06D8" w:rsidP="003A06D8">
            <w:pPr>
              <w:pStyle w:val="Sansinterligne"/>
              <w:jc w:val="both"/>
            </w:pPr>
            <w:r>
              <w:t xml:space="preserve">Mobiliser les acquis antérieurs sur le cycle du carbone biosphérique et les enrichir des connaissances sur les réservoirs géologiques (carbonates, matière organique fossile) et leurs interactions. </w:t>
            </w:r>
          </w:p>
          <w:p w14:paraId="7D13F50B" w14:textId="77777777" w:rsidR="00077C32" w:rsidRPr="00077C32" w:rsidRDefault="00077C32" w:rsidP="003A06D8">
            <w:pPr>
              <w:pStyle w:val="Sansinterligne"/>
              <w:jc w:val="both"/>
            </w:pPr>
          </w:p>
        </w:tc>
      </w:tr>
      <w:tr w:rsidR="00077C32" w14:paraId="173DD71B" w14:textId="77777777" w:rsidTr="00251F70">
        <w:tc>
          <w:tcPr>
            <w:tcW w:w="10343" w:type="dxa"/>
            <w:gridSpan w:val="2"/>
          </w:tcPr>
          <w:p w14:paraId="47C2CCF6" w14:textId="76280498" w:rsidR="009D3796" w:rsidRPr="00077C32" w:rsidRDefault="00077C32" w:rsidP="00C5777F">
            <w:pPr>
              <w:pStyle w:val="Sansinterligne"/>
              <w:jc w:val="both"/>
            </w:pPr>
            <w:r w:rsidRPr="00077C32">
              <w:rPr>
                <w:b/>
                <w:bCs/>
                <w:sz w:val="24"/>
                <w:szCs w:val="24"/>
              </w:rPr>
              <w:t>Objectif</w:t>
            </w:r>
            <w:r w:rsidRPr="00077C32">
              <w:rPr>
                <w:sz w:val="24"/>
                <w:szCs w:val="24"/>
              </w:rPr>
              <w:t> </w:t>
            </w:r>
            <w:r>
              <w:t xml:space="preserve">: </w:t>
            </w:r>
            <w:r w:rsidR="00C5777F">
              <w:t xml:space="preserve"> mettre en relation le climat au carbonifère (glaciation) et au permien (réchauffement) avec des données paléogéographiques et paléoécologiques.</w:t>
            </w:r>
          </w:p>
        </w:tc>
      </w:tr>
      <w:tr w:rsidR="00077C32" w14:paraId="71DD9F01" w14:textId="77777777" w:rsidTr="007E33AF">
        <w:tc>
          <w:tcPr>
            <w:tcW w:w="10343" w:type="dxa"/>
            <w:gridSpan w:val="2"/>
          </w:tcPr>
          <w:p w14:paraId="33377704" w14:textId="28DF2A46" w:rsidR="00077C32" w:rsidRPr="00077C32" w:rsidRDefault="00077C32" w:rsidP="00077C32">
            <w:pPr>
              <w:pStyle w:val="Sansinterligne"/>
              <w:jc w:val="both"/>
            </w:pPr>
            <w:r w:rsidRPr="00077C32">
              <w:rPr>
                <w:b/>
                <w:bCs/>
                <w:sz w:val="24"/>
                <w:szCs w:val="24"/>
              </w:rPr>
              <w:t>Ressources</w:t>
            </w:r>
            <w:r w:rsidRPr="00077C32">
              <w:rPr>
                <w:sz w:val="24"/>
                <w:szCs w:val="24"/>
              </w:rPr>
              <w:t> </w:t>
            </w:r>
            <w:r>
              <w:t xml:space="preserve">: logiciel </w:t>
            </w:r>
            <w:proofErr w:type="spellStart"/>
            <w:r>
              <w:t>Build</w:t>
            </w:r>
            <w:proofErr w:type="spellEnd"/>
            <w:r>
              <w:t xml:space="preserve"> </w:t>
            </w:r>
            <w:proofErr w:type="spellStart"/>
            <w:r>
              <w:t>your</w:t>
            </w:r>
            <w:proofErr w:type="spellEnd"/>
            <w:r>
              <w:t xml:space="preserve"> </w:t>
            </w:r>
            <w:proofErr w:type="spellStart"/>
            <w:r>
              <w:t>own</w:t>
            </w:r>
            <w:proofErr w:type="spellEnd"/>
            <w:r>
              <w:t xml:space="preserve"> </w:t>
            </w:r>
            <w:proofErr w:type="spellStart"/>
            <w:r>
              <w:t>Earth</w:t>
            </w:r>
            <w:proofErr w:type="spellEnd"/>
            <w:r>
              <w:t xml:space="preserve"> </w:t>
            </w:r>
            <w:hyperlink r:id="rId7" w:history="1">
              <w:r>
                <w:rPr>
                  <w:rStyle w:val="Lienhypertexte"/>
                </w:rPr>
                <w:t>http://www.buildyourownearth.com/</w:t>
              </w:r>
            </w:hyperlink>
            <w:r>
              <w:t xml:space="preserve"> et sa fiche technique </w:t>
            </w:r>
          </w:p>
        </w:tc>
      </w:tr>
    </w:tbl>
    <w:p w14:paraId="09D27961" w14:textId="62525D7D" w:rsidR="003353BF" w:rsidRDefault="003353BF"/>
    <w:p w14:paraId="6B0CDB49" w14:textId="77777777" w:rsidR="00CF2804" w:rsidRPr="00CF2804" w:rsidRDefault="00CF2804" w:rsidP="00CF2804">
      <w:pPr>
        <w:jc w:val="both"/>
        <w:rPr>
          <w:b/>
          <w:bCs/>
          <w:sz w:val="24"/>
          <w:szCs w:val="24"/>
          <w:u w:val="single"/>
        </w:rPr>
      </w:pPr>
      <w:r w:rsidRPr="00CF2804">
        <w:rPr>
          <w:b/>
          <w:bCs/>
          <w:sz w:val="24"/>
          <w:szCs w:val="24"/>
          <w:u w:val="single"/>
        </w:rPr>
        <w:t xml:space="preserve">Consignes : </w:t>
      </w:r>
    </w:p>
    <w:p w14:paraId="0FE13C17" w14:textId="6FBE25B6" w:rsidR="00CF2804" w:rsidRDefault="00CF2804" w:rsidP="00CF2804">
      <w:pPr>
        <w:pStyle w:val="Paragraphedeliste"/>
        <w:numPr>
          <w:ilvl w:val="0"/>
          <w:numId w:val="2"/>
        </w:numPr>
        <w:jc w:val="both"/>
      </w:pPr>
      <w:r>
        <w:t xml:space="preserve">En utilisant les fonctions du logiciel, </w:t>
      </w:r>
      <w:r w:rsidRPr="00CF2804">
        <w:rPr>
          <w:b/>
          <w:bCs/>
        </w:rPr>
        <w:t>afficher l’inlandsis</w:t>
      </w:r>
      <w:r>
        <w:t xml:space="preserve"> (ensemble des glaces continentales et de la banquise) recouvrant le pôle Sud au Carbonifère et au Permien. </w:t>
      </w:r>
    </w:p>
    <w:p w14:paraId="0CD97F39" w14:textId="3B103917" w:rsidR="00CF2804" w:rsidRDefault="00CF2804" w:rsidP="00CF2804">
      <w:pPr>
        <w:pStyle w:val="Paragraphedeliste"/>
        <w:jc w:val="both"/>
      </w:pPr>
      <w:r w:rsidRPr="00CF2804">
        <w:rPr>
          <w:b/>
          <w:bCs/>
        </w:rPr>
        <w:t>Mettre en relation</w:t>
      </w:r>
      <w:r>
        <w:t xml:space="preserve"> son étendue avec la concentration de gaz à effet de serre dans l’atmosphère au cours de ces deux périodes.</w:t>
      </w:r>
    </w:p>
    <w:p w14:paraId="786AF73A" w14:textId="77777777" w:rsidR="003278CE" w:rsidRDefault="003278CE" w:rsidP="00CF2804">
      <w:pPr>
        <w:pStyle w:val="Paragraphedeliste"/>
        <w:jc w:val="both"/>
      </w:pPr>
    </w:p>
    <w:p w14:paraId="1DEB26AD" w14:textId="3EC74617" w:rsidR="00CF2804" w:rsidRDefault="003278CE" w:rsidP="00CF2804">
      <w:pPr>
        <w:pStyle w:val="Paragraphedeliste"/>
        <w:numPr>
          <w:ilvl w:val="0"/>
          <w:numId w:val="2"/>
        </w:numPr>
        <w:jc w:val="both"/>
      </w:pPr>
      <w:r>
        <w:t xml:space="preserve">En utilisant les fonctions du logiciel, </w:t>
      </w:r>
      <w:r w:rsidRPr="003278CE">
        <w:rPr>
          <w:b/>
          <w:bCs/>
        </w:rPr>
        <w:t>afficher sur le planisphère la végétation</w:t>
      </w:r>
      <w:r>
        <w:t xml:space="preserve"> au Carbonifère et au Permien, et la topographie.</w:t>
      </w:r>
    </w:p>
    <w:p w14:paraId="7DD8AA28" w14:textId="7813D139" w:rsidR="003278CE" w:rsidRDefault="003278CE" w:rsidP="003278CE">
      <w:pPr>
        <w:pStyle w:val="Paragraphedeliste"/>
        <w:jc w:val="both"/>
      </w:pPr>
      <w:r>
        <w:t>A partir de ces observations</w:t>
      </w:r>
      <w:r w:rsidR="00F54485">
        <w:t xml:space="preserve"> et des ressources</w:t>
      </w:r>
      <w:r>
        <w:t xml:space="preserve">, </w:t>
      </w:r>
      <w:r w:rsidRPr="003278CE">
        <w:rPr>
          <w:b/>
          <w:bCs/>
        </w:rPr>
        <w:t>expliquer la variation</w:t>
      </w:r>
      <w:r>
        <w:t xml:space="preserve"> de concentration atmosphérique de CO2 entre ces deux périodes.</w:t>
      </w:r>
    </w:p>
    <w:p w14:paraId="2A89E43F" w14:textId="77777777" w:rsidR="003278CE" w:rsidRDefault="003278CE">
      <w:pPr>
        <w:rPr>
          <w:b/>
          <w:bCs/>
          <w:sz w:val="24"/>
          <w:szCs w:val="24"/>
          <w:u w:val="single"/>
        </w:rPr>
      </w:pPr>
    </w:p>
    <w:p w14:paraId="035028BB" w14:textId="7A01D4FD" w:rsidR="003278CE" w:rsidRDefault="003278CE">
      <w:pPr>
        <w:rPr>
          <w:b/>
          <w:bCs/>
          <w:sz w:val="24"/>
          <w:szCs w:val="24"/>
          <w:u w:val="single"/>
        </w:rPr>
      </w:pPr>
      <w:r>
        <w:rPr>
          <w:b/>
          <w:bCs/>
          <w:sz w:val="24"/>
          <w:szCs w:val="24"/>
          <w:u w:val="single"/>
        </w:rPr>
        <w:t>Ressources</w:t>
      </w:r>
      <w:r w:rsidR="00F54485">
        <w:rPr>
          <w:b/>
          <w:bCs/>
          <w:sz w:val="24"/>
          <w:szCs w:val="24"/>
          <w:u w:val="single"/>
        </w:rPr>
        <w:t xml:space="preserve"> nécessaires</w:t>
      </w:r>
      <w:r>
        <w:rPr>
          <w:b/>
          <w:bCs/>
          <w:sz w:val="24"/>
          <w:szCs w:val="24"/>
          <w:u w:val="single"/>
        </w:rPr>
        <w:t> :</w:t>
      </w:r>
    </w:p>
    <w:p w14:paraId="4F1CA4BF" w14:textId="6268764F" w:rsidR="003278CE" w:rsidRDefault="003278CE" w:rsidP="00F54485">
      <w:pPr>
        <w:pStyle w:val="Paragraphedeliste"/>
        <w:numPr>
          <w:ilvl w:val="0"/>
          <w:numId w:val="4"/>
        </w:numPr>
      </w:pPr>
      <w:r>
        <w:t xml:space="preserve">L’altération des chaînes de montagne consomme du CO2 : exemple de lien </w:t>
      </w:r>
      <w:hyperlink r:id="rId8" w:history="1">
        <w:r>
          <w:rPr>
            <w:rStyle w:val="Lienhypertexte"/>
          </w:rPr>
          <w:t>https://planet-terre.ens-lyon.fr/article/himalaya-pompe-co2.xml</w:t>
        </w:r>
      </w:hyperlink>
    </w:p>
    <w:p w14:paraId="5C8F8E63" w14:textId="4DDCF303" w:rsidR="00F54485" w:rsidRDefault="00F54485" w:rsidP="00F54485">
      <w:pPr>
        <w:pStyle w:val="Paragraphedeliste"/>
        <w:numPr>
          <w:ilvl w:val="0"/>
          <w:numId w:val="4"/>
        </w:numPr>
      </w:pPr>
      <w:r>
        <w:t>Connaissances de 1</w:t>
      </w:r>
      <w:r w:rsidRPr="00F54485">
        <w:rPr>
          <w:vertAlign w:val="superscript"/>
        </w:rPr>
        <w:t>ère</w:t>
      </w:r>
      <w:r>
        <w:t xml:space="preserve"> spécialité sur le cycle géochimique du carbone</w:t>
      </w:r>
    </w:p>
    <w:p w14:paraId="30638C4A" w14:textId="2961AD89" w:rsidR="00020699" w:rsidRDefault="00020699" w:rsidP="00F54485">
      <w:pPr>
        <w:pStyle w:val="Paragraphedeliste"/>
        <w:numPr>
          <w:ilvl w:val="0"/>
          <w:numId w:val="4"/>
        </w:numPr>
      </w:pPr>
      <w:r>
        <w:t xml:space="preserve">Libération de méthane par la diminution du niveau marin (à cause de la baisse de pression, les hydrates de méthane libèrent du méthane gazeux) : exemple vidéo Ifremer sur les hydrates de méthane </w:t>
      </w:r>
      <w:hyperlink r:id="rId9" w:history="1">
        <w:r>
          <w:rPr>
            <w:rStyle w:val="Lienhypertexte"/>
          </w:rPr>
          <w:t>https://www.youtube.com/watch?v=HA1ikuTisH8&amp;feature=youtu.be</w:t>
        </w:r>
      </w:hyperlink>
    </w:p>
    <w:p w14:paraId="757363BF" w14:textId="7EEFC319" w:rsidR="003278CE" w:rsidRDefault="003278CE">
      <w:pPr>
        <w:rPr>
          <w:b/>
          <w:bCs/>
          <w:sz w:val="24"/>
          <w:szCs w:val="24"/>
          <w:u w:val="single"/>
        </w:rPr>
      </w:pPr>
      <w:r>
        <w:rPr>
          <w:b/>
          <w:bCs/>
          <w:sz w:val="24"/>
          <w:szCs w:val="24"/>
          <w:u w:val="single"/>
        </w:rPr>
        <w:br w:type="page"/>
      </w:r>
    </w:p>
    <w:p w14:paraId="398FB854" w14:textId="3A9B5E09" w:rsidR="00CF2804" w:rsidRDefault="00CF2804" w:rsidP="009D3796">
      <w:pPr>
        <w:pStyle w:val="Sansinterligne"/>
        <w:jc w:val="both"/>
        <w:rPr>
          <w:b/>
          <w:bCs/>
          <w:sz w:val="24"/>
          <w:szCs w:val="24"/>
          <w:u w:val="single"/>
        </w:rPr>
      </w:pPr>
      <w:r>
        <w:rPr>
          <w:b/>
          <w:bCs/>
          <w:sz w:val="24"/>
          <w:szCs w:val="24"/>
          <w:u w:val="single"/>
        </w:rPr>
        <w:lastRenderedPageBreak/>
        <w:t>Procédure de résolution et résultats attendus :</w:t>
      </w:r>
    </w:p>
    <w:p w14:paraId="46F8E35E" w14:textId="262E282F" w:rsidR="003278CE" w:rsidRPr="00F40CDC" w:rsidRDefault="003278CE" w:rsidP="003278CE">
      <w:pPr>
        <w:pStyle w:val="Sansinterligne"/>
        <w:numPr>
          <w:ilvl w:val="0"/>
          <w:numId w:val="3"/>
        </w:numPr>
        <w:jc w:val="both"/>
        <w:rPr>
          <w:b/>
          <w:bCs/>
          <w:sz w:val="24"/>
          <w:szCs w:val="24"/>
          <w:u w:val="single"/>
        </w:rPr>
      </w:pPr>
    </w:p>
    <w:p w14:paraId="3CAA9832" w14:textId="779D8F2D" w:rsidR="009D3796" w:rsidRDefault="009D3796" w:rsidP="009D3796">
      <w:pPr>
        <w:pStyle w:val="Sansinterligne"/>
        <w:jc w:val="both"/>
      </w:pPr>
    </w:p>
    <w:tbl>
      <w:tblPr>
        <w:tblStyle w:val="Grilledutableau"/>
        <w:tblW w:w="10774" w:type="dxa"/>
        <w:tblInd w:w="-289" w:type="dxa"/>
        <w:tblLook w:val="04A0" w:firstRow="1" w:lastRow="0" w:firstColumn="1" w:lastColumn="0" w:noHBand="0" w:noVBand="1"/>
      </w:tblPr>
      <w:tblGrid>
        <w:gridCol w:w="5406"/>
        <w:gridCol w:w="5368"/>
      </w:tblGrid>
      <w:tr w:rsidR="009D3796" w14:paraId="718860A9" w14:textId="77777777" w:rsidTr="00F40CDC">
        <w:tc>
          <w:tcPr>
            <w:tcW w:w="5406" w:type="dxa"/>
          </w:tcPr>
          <w:p w14:paraId="23FA7BFD" w14:textId="61456A55" w:rsidR="009D3796" w:rsidRPr="00F40CDC" w:rsidRDefault="00CF2804" w:rsidP="009D3796">
            <w:pPr>
              <w:pStyle w:val="Sansinterligne"/>
              <w:jc w:val="both"/>
              <w:rPr>
                <w:b/>
                <w:bCs/>
                <w:sz w:val="24"/>
                <w:szCs w:val="24"/>
              </w:rPr>
            </w:pPr>
            <w:r>
              <w:rPr>
                <w:b/>
                <w:bCs/>
                <w:sz w:val="24"/>
                <w:szCs w:val="24"/>
              </w:rPr>
              <w:t>Carbonifère</w:t>
            </w:r>
          </w:p>
        </w:tc>
        <w:tc>
          <w:tcPr>
            <w:tcW w:w="5368" w:type="dxa"/>
          </w:tcPr>
          <w:p w14:paraId="5B734E1C" w14:textId="4F4B396D" w:rsidR="009D3796" w:rsidRPr="00F40CDC" w:rsidRDefault="00CF2804" w:rsidP="009D3796">
            <w:pPr>
              <w:pStyle w:val="Sansinterligne"/>
              <w:jc w:val="both"/>
              <w:rPr>
                <w:b/>
                <w:bCs/>
                <w:sz w:val="24"/>
                <w:szCs w:val="24"/>
              </w:rPr>
            </w:pPr>
            <w:r>
              <w:rPr>
                <w:b/>
                <w:bCs/>
                <w:sz w:val="24"/>
                <w:szCs w:val="24"/>
              </w:rPr>
              <w:t>Permien</w:t>
            </w:r>
          </w:p>
        </w:tc>
      </w:tr>
      <w:tr w:rsidR="009D3796" w14:paraId="4B84DA02" w14:textId="77777777" w:rsidTr="00F40CDC">
        <w:tc>
          <w:tcPr>
            <w:tcW w:w="5406" w:type="dxa"/>
          </w:tcPr>
          <w:p w14:paraId="2AA33199" w14:textId="19AE926E" w:rsidR="00CF2804" w:rsidRPr="00CF2804" w:rsidRDefault="00CF2804" w:rsidP="009D3796">
            <w:pPr>
              <w:pStyle w:val="Sansinterligne"/>
              <w:jc w:val="both"/>
              <w:rPr>
                <w:u w:val="single"/>
              </w:rPr>
            </w:pPr>
            <w:r w:rsidRPr="00CF2804">
              <w:rPr>
                <w:u w:val="single"/>
              </w:rPr>
              <w:t>Extension de l’inlandsis en juillet (hiver austral)</w:t>
            </w:r>
          </w:p>
          <w:p w14:paraId="59344C51" w14:textId="2075151D" w:rsidR="00CF2804" w:rsidRDefault="00CF2804" w:rsidP="009D3796">
            <w:pPr>
              <w:pStyle w:val="Sansinterligne"/>
              <w:jc w:val="both"/>
            </w:pPr>
            <w:r>
              <w:t>Onglet « </w:t>
            </w:r>
            <w:proofErr w:type="spellStart"/>
            <w:r>
              <w:t>ancient</w:t>
            </w:r>
            <w:proofErr w:type="spellEnd"/>
            <w:r>
              <w:t> », « </w:t>
            </w:r>
            <w:proofErr w:type="spellStart"/>
            <w:r>
              <w:t>carboniferous</w:t>
            </w:r>
            <w:proofErr w:type="spellEnd"/>
            <w:r>
              <w:t> » puis choisir « </w:t>
            </w:r>
            <w:proofErr w:type="spellStart"/>
            <w:r>
              <w:t>ice</w:t>
            </w:r>
            <w:proofErr w:type="spellEnd"/>
            <w:r>
              <w:t xml:space="preserve"> », « total </w:t>
            </w:r>
            <w:proofErr w:type="spellStart"/>
            <w:r>
              <w:t>snow</w:t>
            </w:r>
            <w:proofErr w:type="spellEnd"/>
            <w:r>
              <w:t xml:space="preserve"> + </w:t>
            </w:r>
            <w:proofErr w:type="spellStart"/>
            <w:r>
              <w:t>sea</w:t>
            </w:r>
            <w:proofErr w:type="spellEnd"/>
            <w:r>
              <w:t xml:space="preserve"> </w:t>
            </w:r>
            <w:proofErr w:type="spellStart"/>
            <w:r>
              <w:t>ice</w:t>
            </w:r>
            <w:proofErr w:type="spellEnd"/>
            <w:r>
              <w:t> »</w:t>
            </w:r>
          </w:p>
          <w:p w14:paraId="46B7BD1F" w14:textId="6FF83FF6" w:rsidR="00CF2804" w:rsidRDefault="00CF2804" w:rsidP="009D3796">
            <w:pPr>
              <w:pStyle w:val="Sansinterligne"/>
              <w:jc w:val="both"/>
            </w:pPr>
            <w:r>
              <w:t>Choisir la vue polaire et arrêter le défilement en juillet</w:t>
            </w:r>
          </w:p>
          <w:p w14:paraId="17F12118" w14:textId="242D608B" w:rsidR="00CF2804" w:rsidRDefault="00CF2804" w:rsidP="009D3796">
            <w:pPr>
              <w:pStyle w:val="Sansinterligne"/>
              <w:jc w:val="both"/>
            </w:pPr>
            <w:r>
              <w:rPr>
                <w:noProof/>
              </w:rPr>
              <w:drawing>
                <wp:inline distT="0" distB="0" distL="0" distR="0" wp14:anchorId="7BDD6D10" wp14:editId="7F384824">
                  <wp:extent cx="2817628" cy="3239517"/>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831368" cy="3255314"/>
                          </a:xfrm>
                          <a:prstGeom prst="rect">
                            <a:avLst/>
                          </a:prstGeom>
                          <a:ln>
                            <a:noFill/>
                          </a:ln>
                          <a:extLst>
                            <a:ext uri="{53640926-AAD7-44D8-BBD7-CCE9431645EC}">
                              <a14:shadowObscured xmlns:a14="http://schemas.microsoft.com/office/drawing/2010/main"/>
                            </a:ext>
                          </a:extLst>
                        </pic:spPr>
                      </pic:pic>
                    </a:graphicData>
                  </a:graphic>
                </wp:inline>
              </w:drawing>
            </w:r>
          </w:p>
        </w:tc>
        <w:tc>
          <w:tcPr>
            <w:tcW w:w="5368" w:type="dxa"/>
          </w:tcPr>
          <w:p w14:paraId="5E6CC367" w14:textId="2DF07982" w:rsidR="009D3796" w:rsidRPr="00CF2804" w:rsidRDefault="00CF2804" w:rsidP="009D3796">
            <w:pPr>
              <w:pStyle w:val="Sansinterligne"/>
              <w:jc w:val="both"/>
              <w:rPr>
                <w:u w:val="single"/>
              </w:rPr>
            </w:pPr>
            <w:r w:rsidRPr="00CF2804">
              <w:rPr>
                <w:u w:val="single"/>
              </w:rPr>
              <w:t>Extension de l’inlandsis en juillet (hiver austral)</w:t>
            </w:r>
          </w:p>
          <w:p w14:paraId="1FA5387F" w14:textId="48B098BF" w:rsidR="00CF2804" w:rsidRDefault="00CF2804" w:rsidP="00CF2804">
            <w:pPr>
              <w:pStyle w:val="Sansinterligne"/>
              <w:jc w:val="both"/>
            </w:pPr>
            <w:r>
              <w:t>Onglet « </w:t>
            </w:r>
            <w:proofErr w:type="spellStart"/>
            <w:r>
              <w:t>ancient</w:t>
            </w:r>
            <w:proofErr w:type="spellEnd"/>
            <w:r>
              <w:t> », « </w:t>
            </w:r>
            <w:proofErr w:type="spellStart"/>
            <w:r>
              <w:t>late</w:t>
            </w:r>
            <w:proofErr w:type="spellEnd"/>
            <w:r>
              <w:t xml:space="preserve"> </w:t>
            </w:r>
            <w:proofErr w:type="spellStart"/>
            <w:r>
              <w:t>permian</w:t>
            </w:r>
            <w:proofErr w:type="spellEnd"/>
            <w:r>
              <w:t> » puis choisir « </w:t>
            </w:r>
            <w:proofErr w:type="spellStart"/>
            <w:r>
              <w:t>ice</w:t>
            </w:r>
            <w:proofErr w:type="spellEnd"/>
            <w:r>
              <w:t xml:space="preserve"> », « total </w:t>
            </w:r>
            <w:proofErr w:type="spellStart"/>
            <w:r>
              <w:t>snow</w:t>
            </w:r>
            <w:proofErr w:type="spellEnd"/>
            <w:r>
              <w:t xml:space="preserve"> + </w:t>
            </w:r>
            <w:proofErr w:type="spellStart"/>
            <w:r>
              <w:t>sea</w:t>
            </w:r>
            <w:proofErr w:type="spellEnd"/>
            <w:r>
              <w:t xml:space="preserve"> </w:t>
            </w:r>
            <w:proofErr w:type="spellStart"/>
            <w:r>
              <w:t>ice</w:t>
            </w:r>
            <w:proofErr w:type="spellEnd"/>
            <w:r>
              <w:t> »</w:t>
            </w:r>
          </w:p>
          <w:p w14:paraId="06189F78" w14:textId="77777777" w:rsidR="00CF2804" w:rsidRDefault="00CF2804" w:rsidP="00CF2804">
            <w:pPr>
              <w:pStyle w:val="Sansinterligne"/>
              <w:jc w:val="both"/>
            </w:pPr>
            <w:r>
              <w:t>Choisir la vue polaire et arrêter le défilement en juillet</w:t>
            </w:r>
          </w:p>
          <w:p w14:paraId="5FEF9AF5" w14:textId="77777777" w:rsidR="00CF2804" w:rsidRDefault="00CF2804" w:rsidP="00CF2804">
            <w:pPr>
              <w:pStyle w:val="Sansinterligne"/>
              <w:jc w:val="both"/>
            </w:pPr>
          </w:p>
          <w:p w14:paraId="7D72293E" w14:textId="77777777" w:rsidR="00CF2804" w:rsidRDefault="00CF2804" w:rsidP="009D3796">
            <w:pPr>
              <w:pStyle w:val="Sansinterligne"/>
              <w:jc w:val="both"/>
            </w:pPr>
          </w:p>
          <w:p w14:paraId="188F4633" w14:textId="7551EA53" w:rsidR="00CF2804" w:rsidRDefault="00CF2804" w:rsidP="009D3796">
            <w:pPr>
              <w:pStyle w:val="Sansinterligne"/>
              <w:jc w:val="both"/>
            </w:pPr>
            <w:r>
              <w:rPr>
                <w:noProof/>
              </w:rPr>
              <w:drawing>
                <wp:inline distT="0" distB="0" distL="0" distR="0" wp14:anchorId="62976D08" wp14:editId="7165345A">
                  <wp:extent cx="3104707" cy="3211766"/>
                  <wp:effectExtent l="0" t="0" r="63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111674" cy="3218973"/>
                          </a:xfrm>
                          <a:prstGeom prst="rect">
                            <a:avLst/>
                          </a:prstGeom>
                          <a:ln>
                            <a:noFill/>
                          </a:ln>
                          <a:extLst>
                            <a:ext uri="{53640926-AAD7-44D8-BBD7-CCE9431645EC}">
                              <a14:shadowObscured xmlns:a14="http://schemas.microsoft.com/office/drawing/2010/main"/>
                            </a:ext>
                          </a:extLst>
                        </pic:spPr>
                      </pic:pic>
                    </a:graphicData>
                  </a:graphic>
                </wp:inline>
              </w:drawing>
            </w:r>
          </w:p>
        </w:tc>
      </w:tr>
      <w:tr w:rsidR="009D3796" w14:paraId="39E087C2" w14:textId="77777777" w:rsidTr="00F40CDC">
        <w:tc>
          <w:tcPr>
            <w:tcW w:w="5406" w:type="dxa"/>
          </w:tcPr>
          <w:p w14:paraId="225F45FC" w14:textId="77777777" w:rsidR="009D3796" w:rsidRPr="00CF2804" w:rsidRDefault="00CF2804" w:rsidP="009D3796">
            <w:pPr>
              <w:pStyle w:val="Sansinterligne"/>
              <w:jc w:val="both"/>
              <w:rPr>
                <w:u w:val="single"/>
              </w:rPr>
            </w:pPr>
            <w:r w:rsidRPr="00CF2804">
              <w:rPr>
                <w:u w:val="single"/>
              </w:rPr>
              <w:t>Gaz à effet de serre :</w:t>
            </w:r>
          </w:p>
          <w:p w14:paraId="39BA3219" w14:textId="77777777" w:rsidR="00CF2804" w:rsidRPr="003264D6" w:rsidRDefault="00CF2804" w:rsidP="009D3796">
            <w:pPr>
              <w:pStyle w:val="Sansinterligne"/>
              <w:jc w:val="both"/>
              <w:rPr>
                <w:lang w:val="en-US"/>
              </w:rPr>
            </w:pPr>
            <w:r w:rsidRPr="003264D6">
              <w:rPr>
                <w:lang w:val="en-US"/>
              </w:rPr>
              <w:t>Cliquer sur « view climate model »</w:t>
            </w:r>
          </w:p>
          <w:p w14:paraId="01E734B3" w14:textId="77777777" w:rsidR="00790EDD" w:rsidRPr="003264D6" w:rsidRDefault="00790EDD" w:rsidP="00790EDD">
            <w:pPr>
              <w:pStyle w:val="Sansinterligne"/>
              <w:jc w:val="both"/>
              <w:rPr>
                <w:lang w:val="en-US"/>
              </w:rPr>
            </w:pPr>
            <w:proofErr w:type="gramStart"/>
            <w:r w:rsidRPr="003264D6">
              <w:rPr>
                <w:lang w:val="en-US"/>
              </w:rPr>
              <w:t>CO2 :</w:t>
            </w:r>
            <w:proofErr w:type="gramEnd"/>
            <w:r w:rsidRPr="003264D6">
              <w:rPr>
                <w:lang w:val="en-US"/>
              </w:rPr>
              <w:t xml:space="preserve"> 280 ppm</w:t>
            </w:r>
          </w:p>
          <w:p w14:paraId="1DDD6EA0" w14:textId="77777777" w:rsidR="00790EDD" w:rsidRDefault="00790EDD" w:rsidP="00790EDD">
            <w:pPr>
              <w:pStyle w:val="Sansinterligne"/>
              <w:jc w:val="both"/>
            </w:pPr>
            <w:r>
              <w:t xml:space="preserve">N2O : 306 </w:t>
            </w:r>
            <w:proofErr w:type="spellStart"/>
            <w:r>
              <w:t>ppb</w:t>
            </w:r>
            <w:proofErr w:type="spellEnd"/>
          </w:p>
          <w:p w14:paraId="42AC6381" w14:textId="73DFCB91" w:rsidR="00CF2804" w:rsidRDefault="00790EDD" w:rsidP="00790EDD">
            <w:pPr>
              <w:pStyle w:val="Sansinterligne"/>
              <w:jc w:val="both"/>
            </w:pPr>
            <w:r>
              <w:t xml:space="preserve">CH4 (méthane) : 700 </w:t>
            </w:r>
            <w:proofErr w:type="spellStart"/>
            <w:r>
              <w:t>ppb</w:t>
            </w:r>
            <w:proofErr w:type="spellEnd"/>
          </w:p>
        </w:tc>
        <w:tc>
          <w:tcPr>
            <w:tcW w:w="5368" w:type="dxa"/>
          </w:tcPr>
          <w:p w14:paraId="71B1AD83" w14:textId="77777777" w:rsidR="00CF2804" w:rsidRPr="00CF2804" w:rsidRDefault="00CF2804" w:rsidP="00CF2804">
            <w:pPr>
              <w:pStyle w:val="Sansinterligne"/>
              <w:jc w:val="both"/>
              <w:rPr>
                <w:u w:val="single"/>
              </w:rPr>
            </w:pPr>
            <w:r w:rsidRPr="00CF2804">
              <w:rPr>
                <w:u w:val="single"/>
              </w:rPr>
              <w:t>Gaz à effet de serre :</w:t>
            </w:r>
          </w:p>
          <w:p w14:paraId="485A5D7F" w14:textId="49558AA3" w:rsidR="00CF2804" w:rsidRPr="003264D6" w:rsidRDefault="00CF2804" w:rsidP="00CF2804">
            <w:pPr>
              <w:pStyle w:val="Sansinterligne"/>
              <w:jc w:val="both"/>
              <w:rPr>
                <w:lang w:val="en-US"/>
              </w:rPr>
            </w:pPr>
            <w:r w:rsidRPr="003264D6">
              <w:rPr>
                <w:lang w:val="en-US"/>
              </w:rPr>
              <w:t>Cliquer sur « view climate model »</w:t>
            </w:r>
          </w:p>
          <w:p w14:paraId="30B37552" w14:textId="77777777" w:rsidR="00790EDD" w:rsidRPr="003264D6" w:rsidRDefault="00790EDD" w:rsidP="00790EDD">
            <w:pPr>
              <w:pStyle w:val="Sansinterligne"/>
              <w:jc w:val="both"/>
              <w:rPr>
                <w:lang w:val="en-US"/>
              </w:rPr>
            </w:pPr>
            <w:proofErr w:type="gramStart"/>
            <w:r w:rsidRPr="003264D6">
              <w:rPr>
                <w:lang w:val="en-US"/>
              </w:rPr>
              <w:t>CO2 :</w:t>
            </w:r>
            <w:proofErr w:type="gramEnd"/>
            <w:r w:rsidRPr="003264D6">
              <w:rPr>
                <w:lang w:val="en-US"/>
              </w:rPr>
              <w:t xml:space="preserve"> 1700 ppm</w:t>
            </w:r>
          </w:p>
          <w:p w14:paraId="6FA895A4" w14:textId="77777777" w:rsidR="00790EDD" w:rsidRDefault="00790EDD" w:rsidP="00790EDD">
            <w:pPr>
              <w:pStyle w:val="Sansinterligne"/>
              <w:jc w:val="both"/>
            </w:pPr>
            <w:r>
              <w:t xml:space="preserve">N2O : 306 </w:t>
            </w:r>
            <w:proofErr w:type="spellStart"/>
            <w:r>
              <w:t>ppb</w:t>
            </w:r>
            <w:proofErr w:type="spellEnd"/>
          </w:p>
          <w:p w14:paraId="71B465D4" w14:textId="3181A007" w:rsidR="00790EDD" w:rsidRDefault="00790EDD" w:rsidP="00790EDD">
            <w:pPr>
              <w:pStyle w:val="Sansinterligne"/>
              <w:jc w:val="both"/>
            </w:pPr>
            <w:r>
              <w:t xml:space="preserve">CH4 (méthane) : 4250 </w:t>
            </w:r>
            <w:proofErr w:type="spellStart"/>
            <w:r>
              <w:t>ppb</w:t>
            </w:r>
            <w:proofErr w:type="spellEnd"/>
          </w:p>
          <w:p w14:paraId="6A723177" w14:textId="51C15BAF" w:rsidR="00F40CDC" w:rsidRDefault="00F40CDC" w:rsidP="00CF2804">
            <w:pPr>
              <w:pStyle w:val="Sansinterligne"/>
              <w:jc w:val="both"/>
            </w:pPr>
          </w:p>
        </w:tc>
      </w:tr>
      <w:tr w:rsidR="003278CE" w14:paraId="75D497A8" w14:textId="77777777" w:rsidTr="005F0499">
        <w:tc>
          <w:tcPr>
            <w:tcW w:w="10774" w:type="dxa"/>
            <w:gridSpan w:val="2"/>
          </w:tcPr>
          <w:p w14:paraId="4C007C5B" w14:textId="20B10579" w:rsidR="00AF1D88" w:rsidRDefault="003278CE" w:rsidP="00F40CDC">
            <w:pPr>
              <w:pStyle w:val="Sansinterligne"/>
              <w:jc w:val="both"/>
              <w:rPr>
                <w:color w:val="70AD47" w:themeColor="accent6"/>
              </w:rPr>
            </w:pPr>
            <w:r>
              <w:t>Bilan : au carbonifère l’inlandsis est plus étendu qu’au permi</w:t>
            </w:r>
            <w:r w:rsidR="00AF1D88">
              <w:t>en, le climat semble plus froid</w:t>
            </w:r>
            <w:r w:rsidR="00C77D1F">
              <w:t xml:space="preserve"> notamment aux fortes latitudes.</w:t>
            </w:r>
            <w:r w:rsidR="00AF1D88">
              <w:rPr>
                <w:color w:val="70AD47" w:themeColor="accent6"/>
              </w:rPr>
              <w:t xml:space="preserve"> </w:t>
            </w:r>
          </w:p>
          <w:p w14:paraId="2105C7F4" w14:textId="5B655771" w:rsidR="003278CE" w:rsidRDefault="003278CE" w:rsidP="00F40CDC">
            <w:pPr>
              <w:pStyle w:val="Sansinterligne"/>
              <w:jc w:val="both"/>
            </w:pPr>
            <w:r>
              <w:t>La plus grande concentration de gaz à effe</w:t>
            </w:r>
            <w:r w:rsidR="00AF1D88">
              <w:t xml:space="preserve">t de serre dans </w:t>
            </w:r>
            <w:r w:rsidR="00AF1D88" w:rsidRPr="00C77D1F">
              <w:t xml:space="preserve">l’atmosphère à la fin du permien peut expliquer le </w:t>
            </w:r>
            <w:r w:rsidRPr="00C77D1F">
              <w:t>climat plus chaud.</w:t>
            </w:r>
          </w:p>
        </w:tc>
      </w:tr>
    </w:tbl>
    <w:p w14:paraId="728AA974" w14:textId="5DC5D26F" w:rsidR="00211097" w:rsidRDefault="00211097" w:rsidP="009D3796">
      <w:pPr>
        <w:pStyle w:val="Sansinterligne"/>
        <w:jc w:val="both"/>
      </w:pPr>
    </w:p>
    <w:p w14:paraId="0926DEE5" w14:textId="2948C35C" w:rsidR="00211097" w:rsidRPr="00C77D1F" w:rsidRDefault="00211097">
      <w:pPr>
        <w:rPr>
          <w:u w:val="single"/>
        </w:rPr>
      </w:pPr>
      <w:r w:rsidRPr="00C77D1F">
        <w:rPr>
          <w:u w:val="single"/>
        </w:rPr>
        <w:br w:type="page"/>
      </w:r>
      <w:r w:rsidR="00C77D1F" w:rsidRPr="00C77D1F">
        <w:rPr>
          <w:u w:val="single"/>
        </w:rPr>
        <w:lastRenderedPageBreak/>
        <w:t>Résultats attendus en vue polaire :</w:t>
      </w:r>
    </w:p>
    <w:p w14:paraId="14713491" w14:textId="00F77F48" w:rsidR="003264D6" w:rsidRDefault="003264D6">
      <w:r>
        <w:rPr>
          <w:noProof/>
        </w:rPr>
        <w:drawing>
          <wp:inline distT="0" distB="0" distL="0" distR="0" wp14:anchorId="31DA9D1D" wp14:editId="012D7163">
            <wp:extent cx="6480810" cy="6236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5-31 à 23.30.11.png"/>
                    <pic:cNvPicPr/>
                  </pic:nvPicPr>
                  <pic:blipFill>
                    <a:blip r:embed="rId12">
                      <a:extLst>
                        <a:ext uri="{28A0092B-C50C-407E-A947-70E740481C1C}">
                          <a14:useLocalDpi xmlns:a14="http://schemas.microsoft.com/office/drawing/2010/main" val="0"/>
                        </a:ext>
                      </a:extLst>
                    </a:blip>
                    <a:stretch>
                      <a:fillRect/>
                    </a:stretch>
                  </pic:blipFill>
                  <pic:spPr>
                    <a:xfrm>
                      <a:off x="0" y="0"/>
                      <a:ext cx="6480810" cy="6236335"/>
                    </a:xfrm>
                    <a:prstGeom prst="rect">
                      <a:avLst/>
                    </a:prstGeom>
                  </pic:spPr>
                </pic:pic>
              </a:graphicData>
            </a:graphic>
          </wp:inline>
        </w:drawing>
      </w:r>
    </w:p>
    <w:p w14:paraId="1C254B48" w14:textId="422BBAAA" w:rsidR="00C77D1F" w:rsidRDefault="00C77D1F">
      <w:r>
        <w:br w:type="page"/>
      </w:r>
    </w:p>
    <w:p w14:paraId="22A4DF15" w14:textId="77777777" w:rsidR="009D3796" w:rsidRDefault="009D3796" w:rsidP="009D3796">
      <w:pPr>
        <w:pStyle w:val="Sansinterligne"/>
        <w:jc w:val="both"/>
      </w:pPr>
    </w:p>
    <w:p w14:paraId="479DA916" w14:textId="37C5D1D9" w:rsidR="00F40CDC" w:rsidRDefault="00F40CDC" w:rsidP="003278CE">
      <w:pPr>
        <w:pStyle w:val="Sansinterligne"/>
        <w:numPr>
          <w:ilvl w:val="0"/>
          <w:numId w:val="3"/>
        </w:numPr>
        <w:jc w:val="both"/>
      </w:pPr>
    </w:p>
    <w:p w14:paraId="0F6144AC" w14:textId="24CD299B" w:rsidR="00F40CDC" w:rsidRDefault="00F40CDC" w:rsidP="009D3796">
      <w:pPr>
        <w:pStyle w:val="Sansinterligne"/>
        <w:jc w:val="both"/>
      </w:pPr>
    </w:p>
    <w:tbl>
      <w:tblPr>
        <w:tblStyle w:val="Grilledutableau"/>
        <w:tblW w:w="10774" w:type="dxa"/>
        <w:tblInd w:w="-289" w:type="dxa"/>
        <w:tblLook w:val="04A0" w:firstRow="1" w:lastRow="0" w:firstColumn="1" w:lastColumn="0" w:noHBand="0" w:noVBand="1"/>
      </w:tblPr>
      <w:tblGrid>
        <w:gridCol w:w="5406"/>
        <w:gridCol w:w="5368"/>
      </w:tblGrid>
      <w:tr w:rsidR="00D30DA5" w14:paraId="16D6C02A" w14:textId="77777777" w:rsidTr="00441483">
        <w:tc>
          <w:tcPr>
            <w:tcW w:w="5406" w:type="dxa"/>
          </w:tcPr>
          <w:p w14:paraId="45017E2B" w14:textId="77777777" w:rsidR="003278CE" w:rsidRPr="00F40CDC" w:rsidRDefault="003278CE" w:rsidP="00441483">
            <w:pPr>
              <w:pStyle w:val="Sansinterligne"/>
              <w:jc w:val="both"/>
              <w:rPr>
                <w:b/>
                <w:bCs/>
                <w:sz w:val="24"/>
                <w:szCs w:val="24"/>
              </w:rPr>
            </w:pPr>
            <w:r>
              <w:rPr>
                <w:b/>
                <w:bCs/>
                <w:sz w:val="24"/>
                <w:szCs w:val="24"/>
              </w:rPr>
              <w:t>Carbonifère</w:t>
            </w:r>
          </w:p>
        </w:tc>
        <w:tc>
          <w:tcPr>
            <w:tcW w:w="5368" w:type="dxa"/>
          </w:tcPr>
          <w:p w14:paraId="655206AB" w14:textId="77777777" w:rsidR="003278CE" w:rsidRPr="00F40CDC" w:rsidRDefault="003278CE" w:rsidP="00441483">
            <w:pPr>
              <w:pStyle w:val="Sansinterligne"/>
              <w:jc w:val="both"/>
              <w:rPr>
                <w:b/>
                <w:bCs/>
                <w:sz w:val="24"/>
                <w:szCs w:val="24"/>
              </w:rPr>
            </w:pPr>
            <w:r>
              <w:rPr>
                <w:b/>
                <w:bCs/>
                <w:sz w:val="24"/>
                <w:szCs w:val="24"/>
              </w:rPr>
              <w:t>Permien</w:t>
            </w:r>
          </w:p>
        </w:tc>
      </w:tr>
      <w:tr w:rsidR="00D30DA5" w14:paraId="1423024F" w14:textId="77777777" w:rsidTr="00441483">
        <w:tc>
          <w:tcPr>
            <w:tcW w:w="5406" w:type="dxa"/>
          </w:tcPr>
          <w:p w14:paraId="4796D044" w14:textId="4B7ADF88" w:rsidR="003278CE" w:rsidRPr="00CF2804" w:rsidRDefault="00D30DA5" w:rsidP="00441483">
            <w:pPr>
              <w:pStyle w:val="Sansinterligne"/>
              <w:jc w:val="both"/>
              <w:rPr>
                <w:u w:val="single"/>
              </w:rPr>
            </w:pPr>
            <w:r>
              <w:rPr>
                <w:u w:val="single"/>
              </w:rPr>
              <w:t xml:space="preserve">Carte de végétation : </w:t>
            </w:r>
          </w:p>
          <w:p w14:paraId="7FC0A5B4" w14:textId="3156EAC3" w:rsidR="003278CE" w:rsidRDefault="003278CE" w:rsidP="00441483">
            <w:pPr>
              <w:pStyle w:val="Sansinterligne"/>
              <w:jc w:val="both"/>
            </w:pPr>
            <w:r>
              <w:t>Onglet « </w:t>
            </w:r>
            <w:proofErr w:type="spellStart"/>
            <w:r>
              <w:t>ancient</w:t>
            </w:r>
            <w:proofErr w:type="spellEnd"/>
            <w:r>
              <w:t> », « </w:t>
            </w:r>
            <w:proofErr w:type="spellStart"/>
            <w:r>
              <w:t>carboniferous</w:t>
            </w:r>
            <w:proofErr w:type="spellEnd"/>
            <w:r>
              <w:t> » puis choisir « </w:t>
            </w:r>
            <w:r w:rsidR="00D30DA5">
              <w:t>land</w:t>
            </w:r>
            <w:r>
              <w:t> », « </w:t>
            </w:r>
            <w:r w:rsidR="00D30DA5">
              <w:t xml:space="preserve">surface </w:t>
            </w:r>
            <w:proofErr w:type="spellStart"/>
            <w:r w:rsidR="00D30DA5">
              <w:t>vegetation</w:t>
            </w:r>
            <w:proofErr w:type="spellEnd"/>
            <w:r w:rsidR="00D30DA5">
              <w:t xml:space="preserve"> type</w:t>
            </w:r>
            <w:r>
              <w:t> »</w:t>
            </w:r>
          </w:p>
          <w:p w14:paraId="6E791474" w14:textId="77777777" w:rsidR="00D30DA5" w:rsidRDefault="00D30DA5" w:rsidP="00441483">
            <w:pPr>
              <w:pStyle w:val="Sansinterligne"/>
              <w:jc w:val="both"/>
            </w:pPr>
          </w:p>
          <w:p w14:paraId="09D724CC" w14:textId="34D15BA1" w:rsidR="003278CE" w:rsidRDefault="00BC084C" w:rsidP="00441483">
            <w:pPr>
              <w:pStyle w:val="Sansinterligne"/>
              <w:jc w:val="both"/>
            </w:pPr>
            <w:r>
              <w:rPr>
                <w:noProof/>
              </w:rPr>
              <w:drawing>
                <wp:inline distT="0" distB="0" distL="0" distR="0" wp14:anchorId="5EB4FFBC" wp14:editId="57928FCB">
                  <wp:extent cx="3289512" cy="2115613"/>
                  <wp:effectExtent l="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3314238" cy="2131515"/>
                          </a:xfrm>
                          <a:prstGeom prst="rect">
                            <a:avLst/>
                          </a:prstGeom>
                          <a:ln>
                            <a:noFill/>
                          </a:ln>
                          <a:extLst>
                            <a:ext uri="{53640926-AAD7-44D8-BBD7-CCE9431645EC}">
                              <a14:shadowObscured xmlns:a14="http://schemas.microsoft.com/office/drawing/2010/main"/>
                            </a:ext>
                          </a:extLst>
                        </pic:spPr>
                      </pic:pic>
                    </a:graphicData>
                  </a:graphic>
                </wp:inline>
              </w:drawing>
            </w:r>
          </w:p>
        </w:tc>
        <w:tc>
          <w:tcPr>
            <w:tcW w:w="5368" w:type="dxa"/>
          </w:tcPr>
          <w:p w14:paraId="1DAB6666" w14:textId="78F9DB00" w:rsidR="003278CE" w:rsidRPr="00CF2804" w:rsidRDefault="00D30DA5" w:rsidP="00441483">
            <w:pPr>
              <w:pStyle w:val="Sansinterligne"/>
              <w:jc w:val="both"/>
              <w:rPr>
                <w:u w:val="single"/>
              </w:rPr>
            </w:pPr>
            <w:r>
              <w:rPr>
                <w:u w:val="single"/>
              </w:rPr>
              <w:t>Carte de végétation :</w:t>
            </w:r>
          </w:p>
          <w:p w14:paraId="5B1EBE34" w14:textId="1FA4168A" w:rsidR="003278CE" w:rsidRDefault="003278CE" w:rsidP="00441483">
            <w:pPr>
              <w:pStyle w:val="Sansinterligne"/>
              <w:jc w:val="both"/>
            </w:pPr>
            <w:r>
              <w:t>Onglet « </w:t>
            </w:r>
            <w:proofErr w:type="spellStart"/>
            <w:r>
              <w:t>ancient</w:t>
            </w:r>
            <w:proofErr w:type="spellEnd"/>
            <w:r>
              <w:t> », « </w:t>
            </w:r>
            <w:proofErr w:type="spellStart"/>
            <w:r>
              <w:t>late</w:t>
            </w:r>
            <w:proofErr w:type="spellEnd"/>
            <w:r>
              <w:t xml:space="preserve"> </w:t>
            </w:r>
            <w:proofErr w:type="spellStart"/>
            <w:r>
              <w:t>permian</w:t>
            </w:r>
            <w:proofErr w:type="spellEnd"/>
            <w:r>
              <w:t xml:space="preserve"> » puis choisir </w:t>
            </w:r>
            <w:r w:rsidR="00D30DA5">
              <w:t xml:space="preserve">puis choisir « land », « surface </w:t>
            </w:r>
            <w:proofErr w:type="spellStart"/>
            <w:r w:rsidR="00D30DA5">
              <w:t>vegetation</w:t>
            </w:r>
            <w:proofErr w:type="spellEnd"/>
            <w:r w:rsidR="00D30DA5">
              <w:t xml:space="preserve"> type »</w:t>
            </w:r>
            <w:r w:rsidR="00D30DA5">
              <w:rPr>
                <w:noProof/>
              </w:rPr>
              <w:drawing>
                <wp:inline distT="0" distB="0" distL="0" distR="0" wp14:anchorId="633C0381" wp14:editId="105F572B">
                  <wp:extent cx="3200400" cy="198686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3228125" cy="2004081"/>
                          </a:xfrm>
                          <a:prstGeom prst="rect">
                            <a:avLst/>
                          </a:prstGeom>
                          <a:ln>
                            <a:noFill/>
                          </a:ln>
                          <a:extLst>
                            <a:ext uri="{53640926-AAD7-44D8-BBD7-CCE9431645EC}">
                              <a14:shadowObscured xmlns:a14="http://schemas.microsoft.com/office/drawing/2010/main"/>
                            </a:ext>
                          </a:extLst>
                        </pic:spPr>
                      </pic:pic>
                    </a:graphicData>
                  </a:graphic>
                </wp:inline>
              </w:drawing>
            </w:r>
          </w:p>
          <w:p w14:paraId="4573A842" w14:textId="64F20C3D" w:rsidR="003278CE" w:rsidRDefault="003278CE" w:rsidP="00441483">
            <w:pPr>
              <w:pStyle w:val="Sansinterligne"/>
              <w:jc w:val="both"/>
            </w:pPr>
          </w:p>
          <w:p w14:paraId="010ABDE1" w14:textId="2CA341CE" w:rsidR="003278CE" w:rsidRDefault="003278CE" w:rsidP="00441483">
            <w:pPr>
              <w:pStyle w:val="Sansinterligne"/>
              <w:jc w:val="both"/>
            </w:pPr>
          </w:p>
        </w:tc>
      </w:tr>
      <w:tr w:rsidR="00D30DA5" w14:paraId="3D028AC8" w14:textId="77777777" w:rsidTr="00441483">
        <w:tc>
          <w:tcPr>
            <w:tcW w:w="5406" w:type="dxa"/>
          </w:tcPr>
          <w:p w14:paraId="1E1C5291" w14:textId="3F229F50" w:rsidR="003278CE" w:rsidRPr="00CF2804" w:rsidRDefault="00D30DA5" w:rsidP="00441483">
            <w:pPr>
              <w:pStyle w:val="Sansinterligne"/>
              <w:jc w:val="both"/>
              <w:rPr>
                <w:u w:val="single"/>
              </w:rPr>
            </w:pPr>
            <w:r>
              <w:rPr>
                <w:u w:val="single"/>
              </w:rPr>
              <w:t>Topographie :</w:t>
            </w:r>
          </w:p>
          <w:p w14:paraId="4D077D24" w14:textId="6F97B688" w:rsidR="00D30DA5" w:rsidRPr="00CF2804" w:rsidRDefault="00D30DA5" w:rsidP="00D30DA5">
            <w:pPr>
              <w:pStyle w:val="Sansinterligne"/>
              <w:jc w:val="both"/>
              <w:rPr>
                <w:u w:val="single"/>
              </w:rPr>
            </w:pPr>
            <w:r>
              <w:t>Onglet « </w:t>
            </w:r>
            <w:proofErr w:type="spellStart"/>
            <w:r>
              <w:t>ancient</w:t>
            </w:r>
            <w:proofErr w:type="spellEnd"/>
            <w:r>
              <w:t> », « </w:t>
            </w:r>
            <w:proofErr w:type="spellStart"/>
            <w:r>
              <w:t>carboniferous</w:t>
            </w:r>
            <w:proofErr w:type="spellEnd"/>
            <w:r>
              <w:t xml:space="preserve"> » puis choisir « land », « surface </w:t>
            </w:r>
            <w:proofErr w:type="spellStart"/>
            <w:r>
              <w:t>topography</w:t>
            </w:r>
            <w:proofErr w:type="spellEnd"/>
            <w:r>
              <w:t> »</w:t>
            </w:r>
          </w:p>
          <w:p w14:paraId="19DF8F1A" w14:textId="606A640A" w:rsidR="00D30DA5" w:rsidRDefault="00E17DF1" w:rsidP="00441483">
            <w:pPr>
              <w:pStyle w:val="Sansinterligne"/>
              <w:jc w:val="both"/>
            </w:pPr>
            <w:r>
              <w:rPr>
                <w:noProof/>
              </w:rPr>
              <mc:AlternateContent>
                <mc:Choice Requires="wps">
                  <w:drawing>
                    <wp:anchor distT="0" distB="0" distL="114300" distR="114300" simplePos="0" relativeHeight="251659264" behindDoc="0" locked="0" layoutInCell="1" allowOverlap="1" wp14:anchorId="6C8CAF1E" wp14:editId="78E56D52">
                      <wp:simplePos x="0" y="0"/>
                      <wp:positionH relativeFrom="column">
                        <wp:posOffset>895350</wp:posOffset>
                      </wp:positionH>
                      <wp:positionV relativeFrom="paragraph">
                        <wp:posOffset>845185</wp:posOffset>
                      </wp:positionV>
                      <wp:extent cx="1343025" cy="323850"/>
                      <wp:effectExtent l="0" t="76200" r="9525" b="76200"/>
                      <wp:wrapNone/>
                      <wp:docPr id="24" name="Ellipse 24"/>
                      <wp:cNvGraphicFramePr/>
                      <a:graphic xmlns:a="http://schemas.openxmlformats.org/drawingml/2006/main">
                        <a:graphicData uri="http://schemas.microsoft.com/office/word/2010/wordprocessingShape">
                          <wps:wsp>
                            <wps:cNvSpPr/>
                            <wps:spPr>
                              <a:xfrm rot="20841260">
                                <a:off x="0" y="0"/>
                                <a:ext cx="1343025"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6E1F3B" id="Ellipse 24" o:spid="_x0000_s1026" style="position:absolute;margin-left:70.5pt;margin-top:66.55pt;width:105.75pt;height:25.5pt;rotation:-828746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" filled="f" strokecolor="red" strokeweight="1.5pt">
                      <v:stroke joinstyle="miter"/>
                    </v:oval>
                  </w:pict>
                </mc:Fallback>
              </mc:AlternateContent>
            </w:r>
            <w:r w:rsidR="00D30DA5">
              <w:rPr>
                <w:noProof/>
              </w:rPr>
              <w:drawing>
                <wp:inline distT="0" distB="0" distL="0" distR="0" wp14:anchorId="3C6AE293" wp14:editId="2A425E9A">
                  <wp:extent cx="3189768" cy="2218968"/>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3203959" cy="2228840"/>
                          </a:xfrm>
                          <a:prstGeom prst="rect">
                            <a:avLst/>
                          </a:prstGeom>
                          <a:ln>
                            <a:noFill/>
                          </a:ln>
                          <a:extLst>
                            <a:ext uri="{53640926-AAD7-44D8-BBD7-CCE9431645EC}">
                              <a14:shadowObscured xmlns:a14="http://schemas.microsoft.com/office/drawing/2010/main"/>
                            </a:ext>
                          </a:extLst>
                        </pic:spPr>
                      </pic:pic>
                    </a:graphicData>
                  </a:graphic>
                </wp:inline>
              </w:drawing>
            </w:r>
          </w:p>
          <w:p w14:paraId="1BDB2059" w14:textId="4F340639" w:rsidR="00D30DA5" w:rsidRDefault="00D30DA5" w:rsidP="00441483">
            <w:pPr>
              <w:pStyle w:val="Sansinterligne"/>
              <w:jc w:val="both"/>
            </w:pPr>
          </w:p>
        </w:tc>
        <w:tc>
          <w:tcPr>
            <w:tcW w:w="5368" w:type="dxa"/>
          </w:tcPr>
          <w:p w14:paraId="4074A4CA" w14:textId="6F3765E9" w:rsidR="003278CE" w:rsidRDefault="00D30DA5" w:rsidP="00441483">
            <w:pPr>
              <w:pStyle w:val="Sansinterligne"/>
              <w:jc w:val="both"/>
              <w:rPr>
                <w:u w:val="single"/>
              </w:rPr>
            </w:pPr>
            <w:r>
              <w:rPr>
                <w:u w:val="single"/>
              </w:rPr>
              <w:t>Topographie :</w:t>
            </w:r>
          </w:p>
          <w:p w14:paraId="3B4D9089" w14:textId="2DCD5E99" w:rsidR="00D30DA5" w:rsidRPr="00CF2804" w:rsidRDefault="00D30DA5" w:rsidP="00441483">
            <w:pPr>
              <w:pStyle w:val="Sansinterligne"/>
              <w:jc w:val="both"/>
              <w:rPr>
                <w:u w:val="single"/>
              </w:rPr>
            </w:pPr>
            <w:r>
              <w:t>Onglet « </w:t>
            </w:r>
            <w:proofErr w:type="spellStart"/>
            <w:r>
              <w:t>ancient</w:t>
            </w:r>
            <w:proofErr w:type="spellEnd"/>
            <w:r>
              <w:t> », « </w:t>
            </w:r>
            <w:proofErr w:type="spellStart"/>
            <w:r>
              <w:t>late</w:t>
            </w:r>
            <w:proofErr w:type="spellEnd"/>
            <w:r>
              <w:t xml:space="preserve"> </w:t>
            </w:r>
            <w:proofErr w:type="spellStart"/>
            <w:r>
              <w:t>permian</w:t>
            </w:r>
            <w:proofErr w:type="spellEnd"/>
            <w:r>
              <w:t xml:space="preserve"> » puis choisir « land », « surface </w:t>
            </w:r>
            <w:proofErr w:type="spellStart"/>
            <w:r>
              <w:t>topography</w:t>
            </w:r>
            <w:proofErr w:type="spellEnd"/>
            <w:r>
              <w:t> »</w:t>
            </w:r>
          </w:p>
          <w:p w14:paraId="7D2CDC0B" w14:textId="35787787" w:rsidR="003278CE" w:rsidRDefault="00D30DA5" w:rsidP="00441483">
            <w:pPr>
              <w:pStyle w:val="Sansinterligne"/>
              <w:jc w:val="both"/>
            </w:pPr>
            <w:r>
              <w:rPr>
                <w:noProof/>
              </w:rPr>
              <w:drawing>
                <wp:inline distT="0" distB="0" distL="0" distR="0" wp14:anchorId="1D730570" wp14:editId="0743E2CA">
                  <wp:extent cx="3062176" cy="2094614"/>
                  <wp:effectExtent l="0" t="0" r="508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3064879" cy="2096463"/>
                          </a:xfrm>
                          <a:prstGeom prst="rect">
                            <a:avLst/>
                          </a:prstGeom>
                          <a:ln>
                            <a:noFill/>
                          </a:ln>
                          <a:extLst>
                            <a:ext uri="{53640926-AAD7-44D8-BBD7-CCE9431645EC}">
                              <a14:shadowObscured xmlns:a14="http://schemas.microsoft.com/office/drawing/2010/main"/>
                            </a:ext>
                          </a:extLst>
                        </pic:spPr>
                      </pic:pic>
                    </a:graphicData>
                  </a:graphic>
                </wp:inline>
              </w:drawing>
            </w:r>
          </w:p>
        </w:tc>
      </w:tr>
      <w:tr w:rsidR="003278CE" w14:paraId="109B0ABF" w14:textId="77777777" w:rsidTr="00441483">
        <w:tc>
          <w:tcPr>
            <w:tcW w:w="10774" w:type="dxa"/>
            <w:gridSpan w:val="2"/>
          </w:tcPr>
          <w:p w14:paraId="4FD0B332" w14:textId="0A6C74B2" w:rsidR="003278CE" w:rsidRPr="00C77D1F" w:rsidRDefault="003278CE" w:rsidP="00441483">
            <w:pPr>
              <w:pStyle w:val="Sansinterligne"/>
              <w:jc w:val="both"/>
            </w:pPr>
            <w:r w:rsidRPr="00C77D1F">
              <w:t xml:space="preserve">Bilan : au carbonifère </w:t>
            </w:r>
            <w:r w:rsidR="00D30DA5" w:rsidRPr="00C77D1F">
              <w:t>la chaîne hercynienne est très étendue</w:t>
            </w:r>
            <w:r w:rsidR="00E17DF1" w:rsidRPr="00C77D1F">
              <w:t xml:space="preserve"> (en rouge)</w:t>
            </w:r>
            <w:r w:rsidR="00D30DA5" w:rsidRPr="00C77D1F">
              <w:t xml:space="preserve"> ainsi que la ceinture de forêt tropicale</w:t>
            </w:r>
            <w:r w:rsidR="00AF1D88" w:rsidRPr="00C77D1F">
              <w:t xml:space="preserve"> aux faibles latitudes</w:t>
            </w:r>
            <w:r w:rsidR="00D30DA5" w:rsidRPr="00C77D1F">
              <w:t>. Ce</w:t>
            </w:r>
            <w:r w:rsidR="00790EDD" w:rsidRPr="00C77D1F">
              <w:t xml:space="preserve"> sont des puits de CO2 : l’altération des minéraux et le captage de CO2 par photosynthèse dans la forêt tropicale diminue</w:t>
            </w:r>
            <w:r w:rsidR="00E17DF1" w:rsidRPr="00C77D1F">
              <w:t>nt</w:t>
            </w:r>
            <w:r w:rsidR="00790EDD" w:rsidRPr="00C77D1F">
              <w:t xml:space="preserve"> la concentration atmosphérique de CO2 et donc l’effet de serre. Ce qui explique la baisse globale des températ</w:t>
            </w:r>
            <w:r w:rsidR="00AF1D88" w:rsidRPr="00C77D1F">
              <w:t>ures et l’inlandsis plus étendu au pôle Sud</w:t>
            </w:r>
          </w:p>
          <w:p w14:paraId="2592ED01" w14:textId="6956984C" w:rsidR="00790EDD" w:rsidRDefault="00AF1D88" w:rsidP="00441483">
            <w:pPr>
              <w:pStyle w:val="Sansinterligne"/>
              <w:jc w:val="both"/>
            </w:pPr>
            <w:r w:rsidRPr="00C77D1F">
              <w:t>À</w:t>
            </w:r>
            <w:r w:rsidR="00790EDD" w:rsidRPr="00C77D1F">
              <w:t xml:space="preserve"> </w:t>
            </w:r>
            <w:r w:rsidRPr="00C77D1F">
              <w:t xml:space="preserve">la fin du </w:t>
            </w:r>
            <w:r w:rsidR="00790EDD" w:rsidRPr="00C77D1F">
              <w:t>permien</w:t>
            </w:r>
            <w:r w:rsidRPr="00C77D1F">
              <w:t>,</w:t>
            </w:r>
            <w:r w:rsidR="00790EDD" w:rsidRPr="00C77D1F">
              <w:t xml:space="preserve"> on observe que </w:t>
            </w:r>
            <w:r w:rsidR="00790EDD">
              <w:t>le niveau de la mer est globalement plus bas : cette mise à nu des plateaux continentaux conduit au relargage de CO</w:t>
            </w:r>
            <w:r w:rsidR="00790EDD" w:rsidRPr="00AF1D88">
              <w:rPr>
                <w:color w:val="70AD47" w:themeColor="accent6"/>
                <w:vertAlign w:val="subscript"/>
              </w:rPr>
              <w:t>2</w:t>
            </w:r>
            <w:r w:rsidR="00790EDD">
              <w:t xml:space="preserve"> et méthane dans l’atmosphère, ce qui conduit au réchauffement global et donc à la diminution de l’inlandsis. </w:t>
            </w:r>
          </w:p>
        </w:tc>
      </w:tr>
    </w:tbl>
    <w:p w14:paraId="6DC1F5D9" w14:textId="77777777" w:rsidR="003278CE" w:rsidRDefault="003278CE" w:rsidP="009D3796">
      <w:pPr>
        <w:pStyle w:val="Sansinterligne"/>
        <w:jc w:val="both"/>
      </w:pPr>
    </w:p>
    <w:p w14:paraId="4D214320" w14:textId="1018F8DF" w:rsidR="00F40CDC" w:rsidRDefault="00F40CDC" w:rsidP="009D3796">
      <w:pPr>
        <w:pStyle w:val="Sansinterligne"/>
        <w:jc w:val="both"/>
      </w:pPr>
    </w:p>
    <w:p w14:paraId="2910391D" w14:textId="6E6BC68E" w:rsidR="00F40CDC" w:rsidRDefault="00F40CDC" w:rsidP="009D3796">
      <w:pPr>
        <w:pStyle w:val="Sansinterligne"/>
        <w:jc w:val="both"/>
      </w:pPr>
    </w:p>
    <w:sectPr w:rsidR="00F40CDC" w:rsidSect="00077C32">
      <w:headerReference w:type="default" r:id="rId17"/>
      <w:pgSz w:w="11906" w:h="16838"/>
      <w:pgMar w:top="709"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47306" w14:textId="77777777" w:rsidR="00103152" w:rsidRDefault="00103152" w:rsidP="007E01F3">
      <w:pPr>
        <w:spacing w:after="0" w:line="240" w:lineRule="auto"/>
      </w:pPr>
      <w:r>
        <w:separator/>
      </w:r>
    </w:p>
  </w:endnote>
  <w:endnote w:type="continuationSeparator" w:id="0">
    <w:p w14:paraId="72B24A87" w14:textId="77777777" w:rsidR="00103152" w:rsidRDefault="00103152" w:rsidP="007E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F7D07" w14:textId="77777777" w:rsidR="00103152" w:rsidRDefault="00103152" w:rsidP="007E01F3">
      <w:pPr>
        <w:spacing w:after="0" w:line="240" w:lineRule="auto"/>
      </w:pPr>
      <w:r>
        <w:separator/>
      </w:r>
    </w:p>
  </w:footnote>
  <w:footnote w:type="continuationSeparator" w:id="0">
    <w:p w14:paraId="0379A335" w14:textId="77777777" w:rsidR="00103152" w:rsidRDefault="00103152" w:rsidP="007E0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C5066" w14:textId="718951C6" w:rsidR="007E01F3" w:rsidRDefault="007E01F3">
    <w:pPr>
      <w:pStyle w:val="En-tte"/>
    </w:pPr>
    <w:r>
      <w:t>Bruno Bozon – lycée Pierre du Terrail (Pontcharra)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92806"/>
    <w:multiLevelType w:val="hybridMultilevel"/>
    <w:tmpl w:val="51C450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414377"/>
    <w:multiLevelType w:val="multilevel"/>
    <w:tmpl w:val="DAC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748FE"/>
    <w:multiLevelType w:val="hybridMultilevel"/>
    <w:tmpl w:val="FA9CBD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22166A"/>
    <w:multiLevelType w:val="hybridMultilevel"/>
    <w:tmpl w:val="140EB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32"/>
    <w:rsid w:val="000153AF"/>
    <w:rsid w:val="00020699"/>
    <w:rsid w:val="00077C32"/>
    <w:rsid w:val="00103152"/>
    <w:rsid w:val="00211097"/>
    <w:rsid w:val="003264D6"/>
    <w:rsid w:val="003278CE"/>
    <w:rsid w:val="003353BF"/>
    <w:rsid w:val="00360D1A"/>
    <w:rsid w:val="003A06D8"/>
    <w:rsid w:val="003F5B56"/>
    <w:rsid w:val="00555C21"/>
    <w:rsid w:val="005D0809"/>
    <w:rsid w:val="0061009D"/>
    <w:rsid w:val="00790EDD"/>
    <w:rsid w:val="007E01F3"/>
    <w:rsid w:val="00806D08"/>
    <w:rsid w:val="008E494E"/>
    <w:rsid w:val="009D3796"/>
    <w:rsid w:val="00A94EEC"/>
    <w:rsid w:val="00AF1D88"/>
    <w:rsid w:val="00BC084C"/>
    <w:rsid w:val="00C5777F"/>
    <w:rsid w:val="00C77D1F"/>
    <w:rsid w:val="00C9146A"/>
    <w:rsid w:val="00CF2804"/>
    <w:rsid w:val="00D30DA5"/>
    <w:rsid w:val="00DF657A"/>
    <w:rsid w:val="00E17DF1"/>
    <w:rsid w:val="00E20866"/>
    <w:rsid w:val="00E3734A"/>
    <w:rsid w:val="00E75635"/>
    <w:rsid w:val="00F40CDC"/>
    <w:rsid w:val="00F54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BE6C"/>
  <w15:chartTrackingRefBased/>
  <w15:docId w15:val="{7AEEE682-852F-4AB1-BA9E-13C36042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77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C32"/>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077C32"/>
    <w:pPr>
      <w:spacing w:after="0" w:line="240" w:lineRule="auto"/>
    </w:pPr>
  </w:style>
  <w:style w:type="character" w:styleId="Lienhypertexte">
    <w:name w:val="Hyperlink"/>
    <w:basedOn w:val="Policepardfaut"/>
    <w:uiPriority w:val="99"/>
    <w:semiHidden/>
    <w:unhideWhenUsed/>
    <w:rsid w:val="00077C32"/>
    <w:rPr>
      <w:color w:val="0000FF"/>
      <w:u w:val="single"/>
    </w:rPr>
  </w:style>
  <w:style w:type="paragraph" w:styleId="NormalWeb">
    <w:name w:val="Normal (Web)"/>
    <w:basedOn w:val="Normal"/>
    <w:uiPriority w:val="99"/>
    <w:semiHidden/>
    <w:unhideWhenUsed/>
    <w:rsid w:val="00E373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stitem">
    <w:name w:val="listitem"/>
    <w:basedOn w:val="Normal"/>
    <w:rsid w:val="00E373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F2804"/>
    <w:pPr>
      <w:ind w:left="720"/>
      <w:contextualSpacing/>
    </w:pPr>
  </w:style>
  <w:style w:type="character" w:styleId="Lienhypertextesuivivisit">
    <w:name w:val="FollowedHyperlink"/>
    <w:basedOn w:val="Policepardfaut"/>
    <w:uiPriority w:val="99"/>
    <w:semiHidden/>
    <w:unhideWhenUsed/>
    <w:rsid w:val="00790EDD"/>
    <w:rPr>
      <w:color w:val="954F72" w:themeColor="followedHyperlink"/>
      <w:u w:val="single"/>
    </w:rPr>
  </w:style>
  <w:style w:type="paragraph" w:styleId="En-tte">
    <w:name w:val="header"/>
    <w:basedOn w:val="Normal"/>
    <w:link w:val="En-tteCar"/>
    <w:uiPriority w:val="99"/>
    <w:unhideWhenUsed/>
    <w:rsid w:val="007E01F3"/>
    <w:pPr>
      <w:tabs>
        <w:tab w:val="center" w:pos="4536"/>
        <w:tab w:val="right" w:pos="9072"/>
      </w:tabs>
      <w:spacing w:after="0" w:line="240" w:lineRule="auto"/>
    </w:pPr>
  </w:style>
  <w:style w:type="character" w:customStyle="1" w:styleId="En-tteCar">
    <w:name w:val="En-tête Car"/>
    <w:basedOn w:val="Policepardfaut"/>
    <w:link w:val="En-tte"/>
    <w:uiPriority w:val="99"/>
    <w:rsid w:val="007E01F3"/>
  </w:style>
  <w:style w:type="paragraph" w:styleId="Pieddepage">
    <w:name w:val="footer"/>
    <w:basedOn w:val="Normal"/>
    <w:link w:val="PieddepageCar"/>
    <w:uiPriority w:val="99"/>
    <w:unhideWhenUsed/>
    <w:rsid w:val="007E01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749705">
      <w:bodyDiv w:val="1"/>
      <w:marLeft w:val="0"/>
      <w:marRight w:val="0"/>
      <w:marTop w:val="0"/>
      <w:marBottom w:val="0"/>
      <w:divBdr>
        <w:top w:val="none" w:sz="0" w:space="0" w:color="auto"/>
        <w:left w:val="none" w:sz="0" w:space="0" w:color="auto"/>
        <w:bottom w:val="none" w:sz="0" w:space="0" w:color="auto"/>
        <w:right w:val="none" w:sz="0" w:space="0" w:color="auto"/>
      </w:divBdr>
      <w:divsChild>
        <w:div w:id="91239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et-terre.ens-lyon.fr/article/himalaya-pompe-co2.xml"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ildyourownearth.com/"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HA1ikuTisH8&amp;feature=youtu.be" TargetMode="Externa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696</Words>
  <Characters>3832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Bozon</dc:creator>
  <cp:keywords/>
  <dc:description/>
  <cp:lastModifiedBy>Bruno Bozon</cp:lastModifiedBy>
  <cp:revision>4</cp:revision>
  <dcterms:created xsi:type="dcterms:W3CDTF">2020-05-31T21:39:00Z</dcterms:created>
  <dcterms:modified xsi:type="dcterms:W3CDTF">2020-06-02T13:34:00Z</dcterms:modified>
</cp:coreProperties>
</file>